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Per l’anno 2024 La Relazione non risulta ancora validata 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